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Bold" w:hAnsi="Novarese-Bold" w:cs="Novarese-Bold"/>
          <w:b/>
          <w:bCs/>
          <w:sz w:val="20"/>
          <w:szCs w:val="20"/>
          <w:lang w:val="en-US"/>
        </w:rPr>
      </w:pPr>
      <w:r w:rsidRPr="00517CE1">
        <w:rPr>
          <w:rFonts w:ascii="Novarese-Bold" w:hAnsi="Novarese-Bold" w:cs="Novarese-Bold"/>
          <w:b/>
          <w:bCs/>
          <w:sz w:val="20"/>
          <w:szCs w:val="20"/>
          <w:lang w:val="en-US"/>
        </w:rPr>
        <w:t>2. Financial markets and electronic money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</w:pPr>
      <w:r w:rsidRPr="00517CE1"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  <w:t>Money in the intangible economy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With the new economic landscape now outlined, let us return to money. Not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surprisingly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>, in the intangible economy, money is also becoming increasingly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intangible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>. The relative weight of non-cash monetary transactions now exceeds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value of cash money by a factor of ten. Money and payments are almost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entirely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delivered via electronic networks as data bits and database entries. At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wholesale level, money representation and manipulation are fully automated.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Dedicated payment networks such as SWIFT and payment clearing systems such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as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TARGET or CHIPS are at the core of scriptural money.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Beyond the alteration of the appearance and mechanics of money, there are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deeper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structural changes. The triumph of markets means that money is increasingly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used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to settle multilateral market transactions rather than bilateral commercial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transactions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>. This functional evolution in turn leads to profound modification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in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the design of clearing systems and networks, which need to handle larger volume,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work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in real time, and offer more open access. While banks continue to play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a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key role in the management of these systems, external pressure to open them to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other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actors grows more intense.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Moreover, money itself became a tradable commodity. </w:t>
      </w:r>
      <w:r w:rsidRPr="00E14804">
        <w:rPr>
          <w:rFonts w:ascii="Novarese-Medium" w:hAnsi="Novarese-Medium" w:cs="Novarese-Medium"/>
          <w:sz w:val="20"/>
          <w:szCs w:val="20"/>
          <w:lang w:val="en-US"/>
        </w:rPr>
        <w:t>Markets for various</w:t>
      </w:r>
    </w:p>
    <w:p w:rsidR="00E14804" w:rsidRPr="00E14804" w:rsidRDefault="00E14804" w:rsidP="00E14804">
      <w:pPr>
        <w:rPr>
          <w:rFonts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forms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of money and monetary instruments are bigger than markets for equity or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for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any commercial goods, and they fix the key money variables, interest rates and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exchange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rates.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These changes make money more visible and pervasive but also less stable,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more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volatile in its value, and more elusive. Monetary policy becomes more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important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as a lever of economic management at the same time that the classical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monetary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aggregates – M1, M2, M3 – lose their reliability as signals of future economic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growth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and inflation. Charles </w:t>
      </w:r>
      <w:proofErr w:type="spellStart"/>
      <w:r w:rsidRPr="00517CE1">
        <w:rPr>
          <w:rFonts w:ascii="Novarese-Medium" w:hAnsi="Novarese-Medium" w:cs="Novarese-Medium"/>
          <w:sz w:val="20"/>
          <w:szCs w:val="20"/>
          <w:lang w:val="en-US"/>
        </w:rPr>
        <w:t>Goodhart</w:t>
      </w:r>
      <w:proofErr w:type="spell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(1975) has formulated a monetary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equivalent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of Heisenberg’s uncertainty principle: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“Any observed statistical regularity will tend to collapse once pressure is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placed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upon it for control purposes.”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Because information is its key resource and output, the intangible economy is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highly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data-sensitive and intrinsically self-reflective: it continuously monitors and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measures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its own </w:t>
      </w:r>
      <w:proofErr w:type="spellStart"/>
      <w:r w:rsidRPr="00517CE1">
        <w:rPr>
          <w:rFonts w:ascii="Novarese-Medium" w:hAnsi="Novarese-Medium" w:cs="Novarese-Medium"/>
          <w:sz w:val="20"/>
          <w:szCs w:val="20"/>
          <w:lang w:val="en-US"/>
        </w:rPr>
        <w:t>behaviour</w:t>
      </w:r>
      <w:proofErr w:type="spellEnd"/>
      <w:r w:rsidRPr="00517CE1">
        <w:rPr>
          <w:rFonts w:ascii="Novarese-Medium" w:hAnsi="Novarese-Medium" w:cs="Novarese-Medium"/>
          <w:sz w:val="20"/>
          <w:szCs w:val="20"/>
          <w:lang w:val="en-US"/>
        </w:rPr>
        <w:t>. As soon as authorities announce a monetary aggregate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target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, financial intermediaries adopt strategies that </w:t>
      </w:r>
      <w:proofErr w:type="spellStart"/>
      <w:r w:rsidRPr="00517CE1">
        <w:rPr>
          <w:rFonts w:ascii="Novarese-Medium" w:hAnsi="Novarese-Medium" w:cs="Novarese-Medium"/>
          <w:sz w:val="20"/>
          <w:szCs w:val="20"/>
          <w:lang w:val="en-US"/>
        </w:rPr>
        <w:t>minimise</w:t>
      </w:r>
      <w:proofErr w:type="spell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its pertinence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causality.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</w:pPr>
      <w:r w:rsidRPr="00517CE1"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  <w:t>Electronic money debate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The elusiveness of money explains the persistence of controversy as to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whether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or not the transformation of money has led to the emergence of a new category: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electronic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money (or e-money). Like the other controversies mentioned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above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>, disagreement is deep and remains inconclusive, due essentially to the difficulties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definition. Academic, business and regulatory experts appear deeply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divided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over the question.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Some analysts define electronic money as any form of money that is stored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moved over computer systems and data networks. This implies that the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bulk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of scriptural money is now by and large electronic. One example here is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spellStart"/>
      <w:r w:rsidRPr="00517CE1">
        <w:rPr>
          <w:rFonts w:ascii="Novarese-Medium" w:hAnsi="Novarese-Medium" w:cs="Novarese-Medium"/>
          <w:sz w:val="20"/>
          <w:szCs w:val="20"/>
          <w:lang w:val="en-US"/>
        </w:rPr>
        <w:t>Kurtzmann’s</w:t>
      </w:r>
      <w:proofErr w:type="spell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“megabyte money”, which is nothing more than a large-amount,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cross-border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interbank payment.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Others </w:t>
      </w:r>
      <w:proofErr w:type="spellStart"/>
      <w:r w:rsidRPr="00517CE1">
        <w:rPr>
          <w:rFonts w:ascii="Novarese-Medium" w:hAnsi="Novarese-Medium" w:cs="Novarese-Medium"/>
          <w:sz w:val="20"/>
          <w:szCs w:val="20"/>
          <w:lang w:val="en-US"/>
        </w:rPr>
        <w:t>characterise</w:t>
      </w:r>
      <w:proofErr w:type="spell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it in more restrictive terms. One commonly used definition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stresses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the innovative use of technology. Frequently mentioned examples of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technology-driven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e-money are the smart card-based electronic purses for small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value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payments (Proton or </w:t>
      </w:r>
      <w:proofErr w:type="spellStart"/>
      <w:r w:rsidRPr="00517CE1">
        <w:rPr>
          <w:rFonts w:ascii="Novarese-Medium" w:hAnsi="Novarese-Medium" w:cs="Novarese-Medium"/>
          <w:sz w:val="20"/>
          <w:szCs w:val="20"/>
          <w:lang w:val="en-US"/>
        </w:rPr>
        <w:t>Mondex</w:t>
      </w:r>
      <w:proofErr w:type="spellEnd"/>
      <w:r w:rsidRPr="00517CE1">
        <w:rPr>
          <w:rFonts w:ascii="Novarese-Medium" w:hAnsi="Novarese-Medium" w:cs="Novarese-Medium"/>
          <w:sz w:val="20"/>
          <w:szCs w:val="20"/>
          <w:lang w:val="en-US"/>
        </w:rPr>
        <w:t>) and encryption software-based digital cash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(</w:t>
      </w: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token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>) schemes (</w:t>
      </w:r>
      <w:proofErr w:type="spellStart"/>
      <w:r w:rsidRPr="00517CE1">
        <w:rPr>
          <w:rFonts w:ascii="Novarese-Medium" w:hAnsi="Novarese-Medium" w:cs="Novarese-Medium"/>
          <w:sz w:val="20"/>
          <w:szCs w:val="20"/>
          <w:lang w:val="en-US"/>
        </w:rPr>
        <w:t>Digicash</w:t>
      </w:r>
      <w:proofErr w:type="spell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or </w:t>
      </w:r>
      <w:proofErr w:type="spellStart"/>
      <w:r w:rsidRPr="00517CE1">
        <w:rPr>
          <w:rFonts w:ascii="Novarese-Medium" w:hAnsi="Novarese-Medium" w:cs="Novarese-Medium"/>
          <w:sz w:val="20"/>
          <w:szCs w:val="20"/>
          <w:lang w:val="en-US"/>
        </w:rPr>
        <w:t>NetCash</w:t>
      </w:r>
      <w:proofErr w:type="spellEnd"/>
      <w:r w:rsidRPr="00517CE1">
        <w:rPr>
          <w:rFonts w:ascii="Novarese-Medium" w:hAnsi="Novarese-Medium" w:cs="Novarese-Medium"/>
          <w:sz w:val="20"/>
          <w:szCs w:val="20"/>
          <w:lang w:val="en-US"/>
        </w:rPr>
        <w:t>). Another definition focuses on novel uses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such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as air miles – more than half of which are generated and used on the ground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– </w:t>
      </w: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or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</w:t>
      </w:r>
      <w:proofErr w:type="spellStart"/>
      <w:r w:rsidRPr="00517CE1">
        <w:rPr>
          <w:rFonts w:ascii="Novarese-Medium" w:hAnsi="Novarese-Medium" w:cs="Novarese-Medium"/>
          <w:sz w:val="20"/>
          <w:szCs w:val="20"/>
          <w:lang w:val="en-US"/>
        </w:rPr>
        <w:t>multibrand</w:t>
      </w:r>
      <w:proofErr w:type="spell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loyalty schemes. The interest of use-based e-money schemes is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that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they are originated and operated by non-banks.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The differences in definition are of more than academic interest. </w:t>
      </w:r>
      <w:r w:rsidRPr="00E14804">
        <w:rPr>
          <w:rFonts w:ascii="Novarese-Medium" w:hAnsi="Novarese-Medium" w:cs="Novarese-Medium"/>
          <w:sz w:val="20"/>
          <w:szCs w:val="20"/>
          <w:lang w:val="en-US"/>
        </w:rPr>
        <w:t>They have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substantial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regulatory implications. In September 1998, the European Commission</w:t>
      </w:r>
    </w:p>
    <w:p w:rsidR="00E14804" w:rsidRPr="00E14804" w:rsidRDefault="00E14804" w:rsidP="00E14804">
      <w:pPr>
        <w:rPr>
          <w:rFonts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(EC) issued a proposal for an electronic money directive. </w:t>
      </w:r>
      <w:r w:rsidRPr="00E14804">
        <w:rPr>
          <w:rFonts w:ascii="Novarese-Medium" w:hAnsi="Novarese-Medium" w:cs="Novarese-Medium"/>
          <w:sz w:val="20"/>
          <w:szCs w:val="20"/>
          <w:lang w:val="en-US"/>
        </w:rPr>
        <w:t>The result of several</w:t>
      </w:r>
    </w:p>
    <w:p w:rsidR="00E14804" w:rsidRPr="00E14804" w:rsidRDefault="00E14804" w:rsidP="00E14804">
      <w:pPr>
        <w:rPr>
          <w:rFonts w:cs="Novarese-Medium"/>
          <w:sz w:val="20"/>
          <w:szCs w:val="20"/>
          <w:lang w:val="en-US"/>
        </w:rPr>
      </w:pP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years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of discussion among official bodies and between the public and private sectors,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lastRenderedPageBreak/>
        <w:t>the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proposed directive offers a legal framework for regulation of e-money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issuance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by potential non-bank actors.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In the directive proposal, the EC defines e-money as a multi-purpose instrument.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In other words, e-money is construed as a payment instrument that can be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used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to settle more than one kind of transaction, while the traditional definition of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money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stresses its universal dimension. The new definition leads to a broader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more ambiguous definition of the issuer of electronic money. A non-financial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institution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>, a retailer or an Internet service provider that issues an electronic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instrument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appropriate for several types of transactions (buying physical goods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with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selected merchants, buying intangible goods such as information, participating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in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an auction, etc.) </w:t>
      </w: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can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thus be considered as an electronic money issuer.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The proposed directive explicitly acknowledges the possibility of non-banking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e-money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issuers and defines a specific regulatory and prudential framework for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them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>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The proposed directive is still under discussion. It is highly controversial and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afflicted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by the middle-of-the-road syndrome. For e-commerce enthusiasts, it may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create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an additional burden and deter innovation. For regulators such as central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banks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>, it may be too light. Thus the European Central Bank (ECB) would prefer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that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the issuance of electronic money be limited to credit institutions and that the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definition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of credit institution be enlarged to include all issuers of electronic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money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>. Under this approach, electronic money is assimilated to scriptural money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on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an electronic support and as such does not require a fundamental overhaul of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regulatory and institutional framework of monetary systems. According to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many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central banks within the European Union such as </w:t>
      </w:r>
      <w:proofErr w:type="spellStart"/>
      <w:r w:rsidRPr="00517CE1">
        <w:rPr>
          <w:rFonts w:ascii="Novarese-Medium" w:hAnsi="Novarese-Medium" w:cs="Novarese-Medium"/>
          <w:sz w:val="20"/>
          <w:szCs w:val="20"/>
          <w:lang w:val="en-US"/>
        </w:rPr>
        <w:t>Banque</w:t>
      </w:r>
      <w:proofErr w:type="spell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de France, e-purse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e-cash are prepaid instruments that resemble in substance traveller’s </w:t>
      </w:r>
      <w:proofErr w:type="spellStart"/>
      <w:r w:rsidRPr="00517CE1">
        <w:rPr>
          <w:rFonts w:ascii="Novarese-Medium" w:hAnsi="Novarese-Medium" w:cs="Novarese-Medium"/>
          <w:sz w:val="20"/>
          <w:szCs w:val="20"/>
          <w:lang w:val="en-US"/>
        </w:rPr>
        <w:t>cheques</w:t>
      </w:r>
      <w:proofErr w:type="spellEnd"/>
      <w:r w:rsidRPr="00517CE1">
        <w:rPr>
          <w:rFonts w:ascii="Novarese-Medium" w:hAnsi="Novarese-Medium" w:cs="Novarese-Medium"/>
          <w:sz w:val="20"/>
          <w:szCs w:val="20"/>
          <w:lang w:val="en-US"/>
        </w:rPr>
        <w:t>,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except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that the latter are not divisible. No new status or regulations are required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for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traveller’s </w:t>
      </w:r>
      <w:proofErr w:type="spellStart"/>
      <w:r w:rsidRPr="00517CE1">
        <w:rPr>
          <w:rFonts w:ascii="Novarese-Medium" w:hAnsi="Novarese-Medium" w:cs="Novarese-Medium"/>
          <w:sz w:val="20"/>
          <w:szCs w:val="20"/>
          <w:lang w:val="en-US"/>
        </w:rPr>
        <w:t>cheques</w:t>
      </w:r>
      <w:proofErr w:type="spellEnd"/>
      <w:r w:rsidRPr="00517CE1">
        <w:rPr>
          <w:rFonts w:ascii="Novarese-Medium" w:hAnsi="Novarese-Medium" w:cs="Novarese-Medium"/>
          <w:sz w:val="20"/>
          <w:szCs w:val="20"/>
          <w:lang w:val="en-US"/>
        </w:rPr>
        <w:t>, and therefore no new status is necessary for e-money.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As for loyalty schemes, their use is restricted and they are not broadly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redeemable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(except within the designated set of merchants). Therefore, they cannot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be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considered as money.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Beyond questions of definition, technology-based and use-based schemes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raise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other substantive issues.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Both e-purse and e-cash ran into serious market acceptance hurdles. The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most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successful financial e-purse scheme, Proton, has achieved a cash substitution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rate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of less than 5% and its transaction rate is insufficient to attain profitability.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E-cash schemes fared even worse. Despite considerable media coverage and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excitement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among the digerati, practically all the systems run into difficulties,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sometimes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fatal. </w:t>
      </w:r>
      <w:proofErr w:type="spellStart"/>
      <w:r w:rsidRPr="00517CE1">
        <w:rPr>
          <w:rFonts w:ascii="Novarese-Medium" w:hAnsi="Novarese-Medium" w:cs="Novarese-Medium"/>
          <w:sz w:val="20"/>
          <w:szCs w:val="20"/>
          <w:lang w:val="en-US"/>
        </w:rPr>
        <w:t>Digicash</w:t>
      </w:r>
      <w:proofErr w:type="spellEnd"/>
      <w:r w:rsidRPr="00517CE1">
        <w:rPr>
          <w:rFonts w:ascii="Novarese-Medium" w:hAnsi="Novarese-Medium" w:cs="Novarese-Medium"/>
          <w:sz w:val="20"/>
          <w:szCs w:val="20"/>
          <w:lang w:val="en-US"/>
        </w:rPr>
        <w:t>, tireless promoter of e-cash – which had moved from</w:t>
      </w:r>
    </w:p>
    <w:p w:rsidR="00E14804" w:rsidRPr="00517CE1" w:rsidRDefault="00E14804" w:rsidP="00E14804">
      <w:pPr>
        <w:rPr>
          <w:rFonts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Amsterdam to the promised land of Silicon Valley in April 1997, acquiring </w:t>
      </w:r>
      <w:proofErr w:type="spellStart"/>
      <w:r w:rsidRPr="00517CE1">
        <w:rPr>
          <w:rFonts w:ascii="Novarese-Medium" w:hAnsi="Novarese-Medium" w:cs="Novarese-Medium"/>
          <w:sz w:val="20"/>
          <w:szCs w:val="20"/>
          <w:lang w:val="en-US"/>
        </w:rPr>
        <w:t>substan</w:t>
      </w:r>
      <w:proofErr w:type="spellEnd"/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spellStart"/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tial</w:t>
      </w:r>
      <w:proofErr w:type="spellEnd"/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funding and prestigious investors, including Negroponte – was liquidated in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September 1998. The early market leader, </w:t>
      </w:r>
      <w:proofErr w:type="spellStart"/>
      <w:r w:rsidRPr="00517CE1">
        <w:rPr>
          <w:rFonts w:ascii="Novarese-Medium" w:hAnsi="Novarese-Medium" w:cs="Novarese-Medium"/>
          <w:sz w:val="20"/>
          <w:szCs w:val="20"/>
          <w:lang w:val="en-US"/>
        </w:rPr>
        <w:t>Cybercash</w:t>
      </w:r>
      <w:proofErr w:type="spellEnd"/>
      <w:r w:rsidRPr="00517CE1">
        <w:rPr>
          <w:rFonts w:ascii="Novarese-Medium" w:hAnsi="Novarese-Medium" w:cs="Novarese-Medium"/>
          <w:sz w:val="20"/>
          <w:szCs w:val="20"/>
          <w:lang w:val="en-US"/>
        </w:rPr>
        <w:t>, is struggling, has changed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its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strategy and top management several times, and in early 2001 delisted itself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from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NASDAQ. In France, </w:t>
      </w:r>
      <w:proofErr w:type="spellStart"/>
      <w:r w:rsidRPr="00517CE1">
        <w:rPr>
          <w:rFonts w:ascii="Novarese-Medium" w:hAnsi="Novarese-Medium" w:cs="Novarese-Medium"/>
          <w:sz w:val="20"/>
          <w:szCs w:val="20"/>
          <w:lang w:val="en-US"/>
        </w:rPr>
        <w:t>KLELine</w:t>
      </w:r>
      <w:proofErr w:type="spell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, which </w:t>
      </w:r>
      <w:proofErr w:type="spellStart"/>
      <w:r w:rsidRPr="00517CE1">
        <w:rPr>
          <w:rFonts w:ascii="Novarese-Medium" w:hAnsi="Novarese-Medium" w:cs="Novarese-Medium"/>
          <w:sz w:val="20"/>
          <w:szCs w:val="20"/>
          <w:lang w:val="en-US"/>
        </w:rPr>
        <w:t>specialised</w:t>
      </w:r>
      <w:proofErr w:type="spell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in e-merchant acquiring, was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closed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by its owner, BNP-Paribas, in Spring 2000. Another company, backed by all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French banks, which sought to combine Internet and smart card technologies –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Cyber-</w:t>
      </w:r>
      <w:proofErr w:type="spellStart"/>
      <w:r w:rsidRPr="00517CE1">
        <w:rPr>
          <w:rFonts w:ascii="Novarese-Medium" w:hAnsi="Novarese-Medium" w:cs="Novarese-Medium"/>
          <w:sz w:val="20"/>
          <w:szCs w:val="20"/>
          <w:lang w:val="en-US"/>
        </w:rPr>
        <w:t>comm</w:t>
      </w:r>
      <w:proofErr w:type="spell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– was wound down in early 2001. Micro-payment, which was considered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in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the mid-1990s as a potential killer application and a preferred mechanism for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intangible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goods transactions (information, online entertainment…), has so far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failed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to take off.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The main problem with these Internet payment initiatives is that they have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not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focused enough on customers’ </w:t>
      </w:r>
      <w:proofErr w:type="spellStart"/>
      <w:r w:rsidRPr="00517CE1">
        <w:rPr>
          <w:rFonts w:ascii="Novarese-Medium" w:hAnsi="Novarese-Medium" w:cs="Novarese-Medium"/>
          <w:sz w:val="20"/>
          <w:szCs w:val="20"/>
          <w:lang w:val="en-US"/>
        </w:rPr>
        <w:t>behaviour</w:t>
      </w:r>
      <w:proofErr w:type="spell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and attitudes. As a result, most of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them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appeared as solutions in search of a problem, suffering from technological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overkill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while lacking marketing and business sophistication. They were aimed primarily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at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small-value business-to-consumer payments and were basically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conceived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as substitutes for card- or cash-based payments. Thus, even if they had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been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successful, it is not certain that they would radically transform the existing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monetary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systems.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Use-based e-money schemes, many of which can boast millions of loyal users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are becoming ever more sophisticated, raise the same question: what difference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do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they make for existing money systems?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As a new generation of e-money initiatives emerges – some of them quite successful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(</w:t>
      </w:r>
      <w:proofErr w:type="spellStart"/>
      <w:r w:rsidRPr="00517CE1">
        <w:rPr>
          <w:rFonts w:ascii="Novarese-Medium" w:hAnsi="Novarese-Medium" w:cs="Novarese-Medium"/>
          <w:sz w:val="20"/>
          <w:szCs w:val="20"/>
          <w:lang w:val="en-US"/>
        </w:rPr>
        <w:t>Paypal</w:t>
      </w:r>
      <w:proofErr w:type="spell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, for instance, which claims over 8 million customers) – </w:t>
      </w: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question of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lastRenderedPageBreak/>
        <w:t>what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is electronic money becomes ever more topical.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</w:pPr>
      <w:r w:rsidRPr="00517CE1"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  <w:t>Electronic money: elements of a definition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Electronic money should be defined as a new category and its starting point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should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be a reference to two existing categories – fiduciary money and scriptural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money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>. The definition should be systemic, considering the ways in which the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given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category articulates the three basic money functions – unit of account,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exchange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medium and store of value – and its institutional framework. It is also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essential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to look at the entire monetary process: not only at the issuance, where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most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of e-money discussions tend to focus, but also at settlement and clearing. In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effect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>, clearing and settlement are as essential in the determination of the scope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acceptability and universality of money (whether fiduciary, scriptural or electronic)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as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the issuance. Furthermore, it is in this area that widespread IT use has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had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the strongest impact. Back-office automation facilitated and stimulated the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explosive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growth in the volume and scope of electronic payments, wholesale and</w:t>
      </w:r>
    </w:p>
    <w:p w:rsidR="00E14804" w:rsidRPr="00E14804" w:rsidRDefault="00E14804" w:rsidP="00E14804">
      <w:pPr>
        <w:rPr>
          <w:rFonts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retail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, national and global.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Fiduciary money tightly links the three functions. Its issuance is strictly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controlled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>. To the extent that cash is self-referential, the clearing and settlement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process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is quite straightforward and seeks to ascertain that the currency is genuine.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Fiduciary money is not really suitable for multilateral market transactions.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Scriptural money combines unit of account and exchange medium functions.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The value is </w:t>
      </w:r>
      <w:proofErr w:type="spellStart"/>
      <w:r w:rsidRPr="00517CE1">
        <w:rPr>
          <w:rFonts w:ascii="Novarese-Medium" w:hAnsi="Novarese-Medium" w:cs="Novarese-Medium"/>
          <w:sz w:val="20"/>
          <w:szCs w:val="20"/>
          <w:lang w:val="en-US"/>
        </w:rPr>
        <w:t>immobilised</w:t>
      </w:r>
      <w:proofErr w:type="spellEnd"/>
      <w:r w:rsidRPr="00517CE1">
        <w:rPr>
          <w:rFonts w:ascii="Novarese-Medium" w:hAnsi="Novarese-Medium" w:cs="Novarese-Medium"/>
          <w:sz w:val="20"/>
          <w:szCs w:val="20"/>
          <w:lang w:val="en-US"/>
        </w:rPr>
        <w:t>. The issuance of scriptural money is regulated. The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clearing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and settlement process becomes more complex: it is necessary to verify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not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only the instrument but also the identities of both the payer and the payee;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exchange medium and underlying value need to be reconciled and exchanges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recorded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>. Thus scriptural money requires detailed accounting and dedicated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clearing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and settlement systems. Such systems are tightly supervised by central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banks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and their access is hierarchical, with commercial banks acting as gatekeepers.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When the scriptural money is paper-based, the system is costly and difficult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to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scale up. Hence the emphasis on automation, in order to replace the exchange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instruments by account transfers. However, automated clearing and settlement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systems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have for the most part retained access restrictions and banking control.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On the other hand, </w:t>
      </w:r>
      <w:proofErr w:type="spellStart"/>
      <w:r w:rsidRPr="00517CE1">
        <w:rPr>
          <w:rFonts w:ascii="Novarese-Medium" w:hAnsi="Novarese-Medium" w:cs="Novarese-Medium"/>
          <w:sz w:val="20"/>
          <w:szCs w:val="20"/>
          <w:lang w:val="en-US"/>
        </w:rPr>
        <w:t>dematerialisation</w:t>
      </w:r>
      <w:proofErr w:type="spell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of the exchange function made it easier to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use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scriptural money for market transactions settlement. It also facilitated the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emergence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of new instruments based on bank accounts, such as direct debit or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debit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and credit card.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Electronic money unbundles the unit of account function, which becomes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completely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</w:t>
      </w:r>
      <w:proofErr w:type="spellStart"/>
      <w:r w:rsidRPr="00517CE1">
        <w:rPr>
          <w:rFonts w:ascii="Novarese-Medium" w:hAnsi="Novarese-Medium" w:cs="Novarese-Medium"/>
          <w:sz w:val="20"/>
          <w:szCs w:val="20"/>
          <w:lang w:val="en-US"/>
        </w:rPr>
        <w:t>dematerialised</w:t>
      </w:r>
      <w:proofErr w:type="spellEnd"/>
      <w:r w:rsidRPr="00517CE1">
        <w:rPr>
          <w:rFonts w:ascii="Novarese-Medium" w:hAnsi="Novarese-Medium" w:cs="Novarese-Medium"/>
          <w:sz w:val="20"/>
          <w:szCs w:val="20"/>
          <w:lang w:val="en-US"/>
        </w:rPr>
        <w:t>. In the intangible economy, where all values are relative,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values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are calculated as indexes and all index computations are widely and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readily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available. Furthermore, the value is not necessarily fixed at the time of the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exchange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>. On the other hand, electronic money combines exchange medium and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store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of value functions. It is not tied to a single exchange medium but can be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embodied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in a variety of instruments. Similarly, the store of value is not limited to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a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banking deposit. Various types of intangible assets, information, intellectual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property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>, etc. can be used as a counterparty for e-money. E-money can be seen as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a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digital value contract, and e-money transactions as a digital barter. The issuance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e-money is quite open. On the other hand, clearing and settlement systems are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regulated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to ensure </w:t>
      </w:r>
      <w:proofErr w:type="spellStart"/>
      <w:r w:rsidRPr="00517CE1">
        <w:rPr>
          <w:rFonts w:ascii="Novarese-Medium" w:hAnsi="Novarese-Medium" w:cs="Novarese-Medium"/>
          <w:sz w:val="20"/>
          <w:szCs w:val="20"/>
          <w:lang w:val="en-US"/>
        </w:rPr>
        <w:t>redeemability</w:t>
      </w:r>
      <w:proofErr w:type="spell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and convertibility into other money categories.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The access is no longer restricted to banking institutions. Nevertheless, those who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have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access privileges need to satisfy defined regulatory and prudential requirements.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The distinction between commercial and market uses of e-money becomes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irrelevant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as most commercial transactions are mediated by the markets.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This definition of electronic money is admittedly quite generic. Some of its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elements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are already in place, while others are still in various stages of gestation.</w:t>
      </w:r>
    </w:p>
    <w:p w:rsidR="00E14804" w:rsidRPr="00517CE1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517CE1">
        <w:rPr>
          <w:rFonts w:ascii="Novarese-Medium" w:hAnsi="Novarese-Medium" w:cs="Novarese-Medium"/>
          <w:sz w:val="20"/>
          <w:szCs w:val="20"/>
          <w:lang w:val="en-US"/>
        </w:rPr>
        <w:t>Nevertheless, it provides a blueprint that should facilitate the understanding of</w:t>
      </w:r>
    </w:p>
    <w:p w:rsidR="00E14804" w:rsidRDefault="00E14804" w:rsidP="00E14804">
      <w:pPr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517CE1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517CE1">
        <w:rPr>
          <w:rFonts w:ascii="Novarese-Medium" w:hAnsi="Novarese-Medium" w:cs="Novarese-Medium"/>
          <w:sz w:val="20"/>
          <w:szCs w:val="20"/>
          <w:lang w:val="en-US"/>
        </w:rPr>
        <w:t xml:space="preserve"> ongoing e-money emergence process.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Bold" w:hAnsi="Novarese-Bold" w:cs="Novarese-Bold"/>
          <w:b/>
          <w:bCs/>
          <w:sz w:val="20"/>
          <w:szCs w:val="20"/>
          <w:lang w:val="en-US"/>
        </w:rPr>
      </w:pPr>
      <w:r w:rsidRPr="00E14804">
        <w:rPr>
          <w:rFonts w:ascii="Novarese-Bold" w:hAnsi="Novarese-Bold" w:cs="Novarese-Bold"/>
          <w:b/>
          <w:bCs/>
          <w:sz w:val="20"/>
          <w:szCs w:val="20"/>
          <w:lang w:val="en-US"/>
        </w:rPr>
        <w:t>3. Looking forward: from the cash nexus to the market nexus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There is certainly no dearth of studies and essays about the future of money.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Most of them, however, tend to confuse current innovations with long-term trends.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Thus, discussions on the subject tend to oscillate between two extremes. On the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one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hand are the “apocalyptic enthusiasts”, who view e-cash, e-purse and similar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initiatives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as the four horsemen of the apocalypse, which will destroy the financial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lastRenderedPageBreak/>
        <w:t>system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as we know it. For instance, Tatsuo argued in 1996 that digital cash has a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“</w:t>
      </w: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potential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to cause conflict between cyberspace and nation states”. On the other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hand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are the “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sceptical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incrementalists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>”, who, having ascertained the hard slog of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e-money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innovations, tend to see the future of money as more of the same, with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technology-based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innovations being assimilated into the mainstream of the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scriptural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money framework.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The author’s view is that neither of these extremes illuminates the way forward.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Electronic money is a major systemic innovation. However, as with the other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monetary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system innovations, its deployment and dissemination will be a lengthy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process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that should be measured in decades rather than in years. Furthermore,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electronic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money will have a significant impact on the existing forms and categories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money, without necessarily eliminating them. Various monetary systems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will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be closely integrated with intangible markets. The cash nexus will become a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market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nexus.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In order to highlight the systemic nature of electronic money, this peek into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future of money will begin with a discussion of relevant intangible economy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trends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, in particular the evolution of intangible markets. Against this background,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chapter will examine emerging forms of money and the core alternatives of its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evolution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</w:pPr>
      <w:r w:rsidRPr="00E14804"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  <w:t>Cross-currents: strategic schizophrenia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The intangible economy has strong momentum. However, the logic of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dematerialisation</w:t>
      </w:r>
      <w:proofErr w:type="spellEnd"/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is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not deterministic. It does not point to a single optimal trajectory. It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actually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widens the range of choices and alternatives. Instability and volatility,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which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govern the demand for intangibles, become pervasive and affect all aspects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the economy, national competitiveness, business hierarchies and market structures,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prompting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frequent and often brutal financial and economic shocks. The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hierarchy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upheaval is particularly dramatic in business: out of 500 American corporations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that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comprised the Fortune 500 ranking in 1980, 40% disappeared by 1992.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Market dominance can be achieved with unprecedented speed and lost with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equal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if not greater rapidity, particularly in fast-growing sectors such as telecommunications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the Internet.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Upheavals in the marketplace are accompanied by radical reversals of opinions</w:t>
      </w:r>
    </w:p>
    <w:p w:rsidR="00E14804" w:rsidRDefault="00E14804" w:rsidP="00E14804">
      <w:pPr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among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business watchers. In the early 1990s, big multinational companies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were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called “dinosaurs” and condemned to inexorable decline. By the late 1990s,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size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and global reach mattered again.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Instability and volatility are not only sequential but also simultaneous. At the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core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of the intangible economy, conflicting forces are at work: economies of scale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increasing returns on the one hand, the shift of value to the consumer and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market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upheaval on the other. Its trajectory is buffeted by contradictory crosscurrents: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spellStart"/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globalisation</w:t>
      </w:r>
      <w:proofErr w:type="spellEnd"/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and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localisation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>, concentration and fragmentation, vertical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integration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and horizontal competition.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At times, it appears that the guiding principle of business strategies and economic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policy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making is schizophrenia. While competition has never been keener,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fight for market share more brutal or the rivalry between firms more intense,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alliances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proliferate in all sectors and management theorists extol the virtues of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co-operation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and sharing. This coexistence of competition and co-operation has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led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to the emergence of a bridging concept – “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coopetition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>.”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The intangible economy has not killed distance but transformed its nature:</w:t>
      </w:r>
    </w:p>
    <w:p w:rsid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topography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is less relevant and topology has become essential. </w:t>
      </w:r>
      <w:proofErr w:type="spellStart"/>
      <w:r>
        <w:rPr>
          <w:rFonts w:ascii="Novarese-Medium" w:hAnsi="Novarese-Medium" w:cs="Novarese-Medium"/>
          <w:sz w:val="20"/>
          <w:szCs w:val="20"/>
        </w:rPr>
        <w:t>Distinctions</w:t>
      </w:r>
      <w:proofErr w:type="spellEnd"/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between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proximity and remoteness remain highly pertinent. Increases in connectivity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do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not necessarily lead to either a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levelled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or a uniform field. If anything, the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communication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landscape is becoming more picturesque and varied. The explosion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potential links leads to a greater selectivity and proliferation of communities.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Density of links, connections and relations is highly uneven. Moreover, virtual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physical contacts are complementary rather than mutually exclusive.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</w:pPr>
      <w:r w:rsidRPr="00E14804"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  <w:t>Market and networks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Thus, contrary to some high-profile pronouncements, the intangible economy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is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not frictionless. Actually, the level and intensity of frictions is likely to increase.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Specific intermediaries such as travel agents may be threatened by the wide availability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information and ease of communications, but this threat does not entail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complete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disintermediation. As a matter of fact, the abundance of information,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opportunities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and relationships increases the need for new intermediation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lastRenderedPageBreak/>
        <w:t>structures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and mechanisms.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Markets are more important than ever. It is no accident that one of the key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players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in electronic commerce, which emerged relatively unscathed from the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dotcom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debacle, is E-Bay, a wide-open electronic marketplace with 30 million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users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, seeking to trade “practically anything on earth”. In the B2B segment, the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proliferation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of private and virtual marketplaces has been a dominant growth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driver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. Even if there has recently been a pronounced slowdown in their deployment,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it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seems likely that the increasing proportion of inter-business transactions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will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be mediated through these marketplaces. If they follow the logic of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dematerialisation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>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they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may provide a platform for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generalised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asset trading, where companies will be able to acquire either the (tangible or intangible) asset itself or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various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derivatives offering defined rights to use it.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</w:pPr>
      <w:r w:rsidRPr="00E14804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Toward </w:t>
      </w:r>
      <w:proofErr w:type="spellStart"/>
      <w:r w:rsidRPr="00E14804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netmarkets</w:t>
      </w:r>
      <w:proofErr w:type="spellEnd"/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As markets are growing increasingly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dematerialised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and virtual, traditional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distinctions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between markets and networks blur. The two concepts converge, each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providing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useful tools for the other: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• </w:t>
      </w:r>
      <w:r w:rsidRPr="00E14804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Markets as networks. </w:t>
      </w:r>
      <w:r w:rsidRPr="00E14804">
        <w:rPr>
          <w:rFonts w:ascii="Novarese-Medium" w:hAnsi="Novarese-Medium" w:cs="Novarese-Medium"/>
          <w:sz w:val="20"/>
          <w:szCs w:val="20"/>
          <w:lang w:val="en-US"/>
        </w:rPr>
        <w:t>Markets display strong network externalities: the greater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number of users, the greater the benefits to every user. In the case of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networks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, the primary benefit is connectivity; in the case of markets, it is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liquidity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. As markets become more open, they need to make their access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rules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less rigid and more similar to those of traditional networks such as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telecommunications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. Markets also have to address and implement smooth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transparent interconnection, the core competency of networks.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• </w:t>
      </w:r>
      <w:r w:rsidRPr="00E14804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Networks as markets. </w:t>
      </w:r>
      <w:r w:rsidRPr="00E14804">
        <w:rPr>
          <w:rFonts w:ascii="Novarese-Medium" w:hAnsi="Novarese-Medium" w:cs="Novarese-Medium"/>
          <w:sz w:val="20"/>
          <w:szCs w:val="20"/>
          <w:lang w:val="en-US"/>
        </w:rPr>
        <w:t>As networks become dissociated from the physical infrastructure,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management of access and capacity becomes more complex.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Network designers use market negotiation mechanisms to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optimise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management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guarantee a defined quality of service. Similarly, the use of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networks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as a conduit for electronic commerce transactions creates a need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to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enhance counterparty identification and trust building procedures, long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established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in financial markets.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Thus, while markets seek to enhance their connectivity, networks look to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embed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trading capabilities in their design. Hybrid forms of business and economic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spellStart"/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organisations</w:t>
      </w:r>
      <w:proofErr w:type="spellEnd"/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emerge, which can be called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netmarkets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>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</w:pPr>
      <w:r w:rsidRPr="00E14804"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  <w:t>Emerging forms of electronic money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</w:pPr>
      <w:proofErr w:type="gramStart"/>
      <w:r w:rsidRPr="00E14804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e-</w:t>
      </w:r>
      <w:proofErr w:type="spellStart"/>
      <w:r w:rsidRPr="00E14804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fungibility</w:t>
      </w:r>
      <w:proofErr w:type="spellEnd"/>
      <w:proofErr w:type="gramEnd"/>
      <w:r w:rsidRPr="00E14804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 xml:space="preserve"> and digital barter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In the intangible economy, the notion of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fungibility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acquires a new meaning. The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traditional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meaning refers to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fungibility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among various forms of money, say between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cash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and scriptural currency. The new term e-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fungibility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describes the possibility of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substitution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and exchange between various types of intangible value: money, information,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intellectual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property, communications. To the extent that they all share a common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technological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substratum of digital storage, it is easy and cheap to exchange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money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for information, information for access, access for intellectual property acknowledgement,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so on. Each of these can be used alternatively as a store of value and/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or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exchange medium. Thus e-money can, for instance, take the form of: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• Intellectual property money, where the value is based on the content and</w:t>
      </w:r>
    </w:p>
    <w:p w:rsidR="00E14804" w:rsidRDefault="00E14804" w:rsidP="00E14804">
      <w:pPr>
        <w:rPr>
          <w:rFonts w:ascii="Novarese-Medium" w:hAnsi="Novarese-Medium" w:cs="Novarese-Medium"/>
          <w:sz w:val="20"/>
          <w:szCs w:val="20"/>
          <w:lang w:val="en-US"/>
        </w:rPr>
      </w:pPr>
      <w:proofErr w:type="spellStart"/>
      <w:r>
        <w:rPr>
          <w:rFonts w:ascii="Novarese-Medium" w:hAnsi="Novarese-Medium" w:cs="Novarese-Medium"/>
          <w:sz w:val="20"/>
          <w:szCs w:val="20"/>
        </w:rPr>
        <w:t>its</w:t>
      </w:r>
      <w:proofErr w:type="spellEnd"/>
      <w:r>
        <w:rPr>
          <w:rFonts w:ascii="Novarese-Medium" w:hAnsi="Novarese-Medium" w:cs="Novarese-Medium"/>
          <w:sz w:val="20"/>
          <w:szCs w:val="20"/>
        </w:rPr>
        <w:t xml:space="preserve"> </w:t>
      </w:r>
      <w:proofErr w:type="spellStart"/>
      <w:r>
        <w:rPr>
          <w:rFonts w:ascii="Novarese-Medium" w:hAnsi="Novarese-Medium" w:cs="Novarese-Medium"/>
          <w:sz w:val="20"/>
          <w:szCs w:val="20"/>
        </w:rPr>
        <w:t>protection</w:t>
      </w:r>
      <w:proofErr w:type="spellEnd"/>
      <w:r>
        <w:rPr>
          <w:rFonts w:ascii="Novarese-Medium" w:hAnsi="Novarese-Medium" w:cs="Novarese-Medium"/>
          <w:sz w:val="20"/>
          <w:szCs w:val="20"/>
        </w:rPr>
        <w:t>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• Communication money, where the value is based on access and related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services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E-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fungibility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makes it possible both to calculate exchange parities between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different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forms of value and to carry out exchange transactions, through what is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really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digital barter.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</w:pPr>
      <w:r w:rsidRPr="00E14804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Intelligent money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As monetary transactions become more complex, the role of enabling technologies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becomes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crucial. These technologies, network and database design more specifically,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have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allowed the creation of highly reliable and secure networks and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systems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. In the future, another technology is likely to play a critical role: object software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design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and programming that increases the intelligence of various system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components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. The intelligent agent technology is already frequently used in the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design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of trading systems to allow them to respond automatically and appropriately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to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delicate and complex situations (large trades or linked trades, where execution of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one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transaction is contingent upon execution of one or more other transactions).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It is only a matter of time before the intelligent agent approach is applied to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lastRenderedPageBreak/>
        <w:t>the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design of money systems and money instruments. These will be endowed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with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sets of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behavioural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rules and, at a later stage, with a learning ability. If successful,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intelligent agent application will result in the emergence of intelligent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money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(I-money). Such money will for instance vary its value and response function,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depending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on specific transactions and counterparties. Monetary systems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will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consist of sets of I-money and rules for their interactions.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Bold" w:hAnsi="Novarese-Bold" w:cs="Novarese-Bold"/>
          <w:b/>
          <w:bCs/>
          <w:sz w:val="20"/>
          <w:szCs w:val="20"/>
          <w:lang w:val="en-US"/>
        </w:rPr>
      </w:pPr>
      <w:r w:rsidRPr="00E14804">
        <w:rPr>
          <w:rFonts w:ascii="Novarese-Bold" w:hAnsi="Novarese-Bold" w:cs="Novarese-Bold"/>
          <w:b/>
          <w:bCs/>
          <w:sz w:val="20"/>
          <w:szCs w:val="20"/>
          <w:lang w:val="en-US"/>
        </w:rPr>
        <w:t>4. Core alternatives for the future money landscape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Let us now try to put the future development of e-money into a broader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perspective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. If history provides any guide, it suggests two main lessons: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• The development of electronic money is unlikely to be a smooth, linear or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harmonious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process. In all probability, it will be a rough, meandering and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contentious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journey.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• Various money systems will coexist and interact.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To apprehend the future money landscape, we can try to identify what could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be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called “core alternatives”. These are not full-fledged and internally consistent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scenarios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but narrow beams into the future, structured around a simple hypothesis.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Three such alternatives can be identified: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• The private currencies alternative.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• The global currency alternative.</w:t>
      </w:r>
    </w:p>
    <w:p w:rsidR="00E14804" w:rsidRDefault="00E14804" w:rsidP="00E14804">
      <w:pPr>
        <w:rPr>
          <w:rFonts w:ascii="Novarese-Medium" w:hAnsi="Novarese-Medium" w:cs="Novarese-Medium"/>
          <w:sz w:val="20"/>
          <w:szCs w:val="20"/>
          <w:lang w:val="en-US"/>
        </w:rPr>
      </w:pPr>
      <w:r>
        <w:rPr>
          <w:rFonts w:ascii="Novarese-Medium" w:hAnsi="Novarese-Medium" w:cs="Novarese-Medium"/>
          <w:sz w:val="20"/>
          <w:szCs w:val="20"/>
        </w:rPr>
        <w:t xml:space="preserve">• </w:t>
      </w:r>
      <w:proofErr w:type="spellStart"/>
      <w:r>
        <w:rPr>
          <w:rFonts w:ascii="Novarese-Medium" w:hAnsi="Novarese-Medium" w:cs="Novarese-Medium"/>
          <w:sz w:val="20"/>
          <w:szCs w:val="20"/>
        </w:rPr>
        <w:t>The</w:t>
      </w:r>
      <w:proofErr w:type="spellEnd"/>
      <w:r>
        <w:rPr>
          <w:rFonts w:ascii="Novarese-Medium" w:hAnsi="Novarese-Medium" w:cs="Novarese-Medium"/>
          <w:sz w:val="20"/>
          <w:szCs w:val="20"/>
        </w:rPr>
        <w:t xml:space="preserve"> </w:t>
      </w:r>
      <w:proofErr w:type="spellStart"/>
      <w:r>
        <w:rPr>
          <w:rFonts w:ascii="Novarese-Medium" w:hAnsi="Novarese-Medium" w:cs="Novarese-Medium"/>
          <w:sz w:val="20"/>
          <w:szCs w:val="20"/>
        </w:rPr>
        <w:t>market</w:t>
      </w:r>
      <w:proofErr w:type="spellEnd"/>
      <w:r>
        <w:rPr>
          <w:rFonts w:ascii="Novarese-Medium" w:hAnsi="Novarese-Medium" w:cs="Novarese-Medium"/>
          <w:sz w:val="20"/>
          <w:szCs w:val="20"/>
        </w:rPr>
        <w:t xml:space="preserve"> </w:t>
      </w:r>
      <w:proofErr w:type="spellStart"/>
      <w:r>
        <w:rPr>
          <w:rFonts w:ascii="Novarese-Medium" w:hAnsi="Novarese-Medium" w:cs="Novarese-Medium"/>
          <w:sz w:val="20"/>
          <w:szCs w:val="20"/>
        </w:rPr>
        <w:t>nexus</w:t>
      </w:r>
      <w:proofErr w:type="spellEnd"/>
      <w:r>
        <w:rPr>
          <w:rFonts w:ascii="Novarese-Medium" w:hAnsi="Novarese-Medium" w:cs="Novarese-Medium"/>
          <w:sz w:val="20"/>
          <w:szCs w:val="20"/>
        </w:rPr>
        <w:t xml:space="preserve"> </w:t>
      </w:r>
      <w:proofErr w:type="spellStart"/>
      <w:r>
        <w:rPr>
          <w:rFonts w:ascii="Novarese-Medium" w:hAnsi="Novarese-Medium" w:cs="Novarese-Medium"/>
          <w:sz w:val="20"/>
          <w:szCs w:val="20"/>
        </w:rPr>
        <w:t>alternative</w:t>
      </w:r>
      <w:proofErr w:type="spellEnd"/>
      <w:r>
        <w:rPr>
          <w:rFonts w:ascii="Novarese-Medium" w:hAnsi="Novarese-Medium" w:cs="Novarese-Medium"/>
          <w:sz w:val="20"/>
          <w:szCs w:val="20"/>
        </w:rPr>
        <w:t>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</w:pPr>
      <w:r w:rsidRPr="00E14804"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  <w:t>Private currencies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The private currencies alternative postulates a proliferation of issuers and</w:t>
      </w:r>
    </w:p>
    <w:p w:rsid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currencies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. It is a variation on an idea first formulated by F.A. Hayek in 1976. </w:t>
      </w:r>
      <w:proofErr w:type="spellStart"/>
      <w:r>
        <w:rPr>
          <w:rFonts w:ascii="Novarese-Medium" w:hAnsi="Novarese-Medium" w:cs="Novarese-Medium"/>
          <w:sz w:val="20"/>
          <w:szCs w:val="20"/>
        </w:rPr>
        <w:t>He</w:t>
      </w:r>
      <w:proofErr w:type="spellEnd"/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argued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forcefully against the government monopoly on money and in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favour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of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competing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private issuers. This was seen as a way of avoiding the monetary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manipulation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which, according to Hayek, caused inflation and the “boom and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bust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” cycle.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More recently, two other private currency models have emerged. One is the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community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currency model, where the value store of money is constituted by a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range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of local services. Community money is then used to build a common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account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base and thus facilitate a broader exchange of these services. Nevertheless,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community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money remains fundamentally local and is not intended for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redemption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outside the boundaries of the community. Probably the best-known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examples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of community currency are the Local Exchange and Trading Schemes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(LETS), which were first launched in the late 1970s in British Columbia and really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took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off in the 1980s, thanks to the efforts of Michael Lipton.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The other private currency model is the corporate currency model. The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underlying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idea is that many corporations have a stronger balance sheet than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most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banks and their activities are extensive and global. Thus, if a corporation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such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as IBM or Microsoft issued currency, to be redeemed against its products or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products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of affiliated companies, it would be as credible as any bank-issued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money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; the corporate issuer would have no difficulties attracting affiliated merchants,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who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would accept the IBM or Microsoft dollar. Other “natural” candidates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for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corporate currencies are the network suppliers and operators. It could be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argued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that loyalty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programmes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offered by GSM operators such as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Vodaphone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>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which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are redeemed either as additional minutes or against goods and services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offered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by affiliated merchants, constitute a private currency. Moreover, these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operators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deal with sophisticated networks that already offer financial functions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such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as micro-payment accounting, real-time credit checks for international roaming,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roaming clearing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centres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to settle operators’ liabilities.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So far, private currencies remain either at the idea stage or are confined to marginal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local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situations. Corporate currencies also remain limited to schemes such as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Disney dollars, redeemable in various Disney attraction parks, or GSM loyalty points.</w:t>
      </w:r>
      <w:proofErr w:type="gramEnd"/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Nevertheless, the wide availability of enabling technologies, providing tools both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for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issuance and clearing and settlement, lead many analysts to believe that private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currencies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will take hold and constitute a preferred form of electronic money. Community</w:t>
      </w:r>
    </w:p>
    <w:p w:rsid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currency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in particularly has attracted vocal and passionate support. </w:t>
      </w:r>
      <w:proofErr w:type="spellStart"/>
      <w:r>
        <w:rPr>
          <w:rFonts w:ascii="Novarese-Medium" w:hAnsi="Novarese-Medium" w:cs="Novarese-Medium"/>
          <w:sz w:val="20"/>
          <w:szCs w:val="20"/>
        </w:rPr>
        <w:t>Keith</w:t>
      </w:r>
      <w:proofErr w:type="spellEnd"/>
      <w:r>
        <w:rPr>
          <w:rFonts w:ascii="Novarese-Medium" w:hAnsi="Novarese-Medium" w:cs="Novarese-Medium"/>
          <w:sz w:val="20"/>
          <w:szCs w:val="20"/>
        </w:rPr>
        <w:t xml:space="preserve"> </w:t>
      </w:r>
      <w:proofErr w:type="spellStart"/>
      <w:r>
        <w:rPr>
          <w:rFonts w:ascii="Novarese-Medium" w:hAnsi="Novarese-Medium" w:cs="Novarese-Medium"/>
          <w:sz w:val="20"/>
          <w:szCs w:val="20"/>
        </w:rPr>
        <w:t>Hart</w:t>
      </w:r>
      <w:proofErr w:type="spellEnd"/>
    </w:p>
    <w:p w:rsidR="00E14804" w:rsidRDefault="00E14804" w:rsidP="00E14804">
      <w:pPr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(2001) sees it as a lever of greater economic and political democracy.</w:t>
      </w:r>
      <w:proofErr w:type="gramEnd"/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</w:pPr>
      <w:r w:rsidRPr="00E14804"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  <w:t>Single global currency: the geo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This is the polar opposite of private currency: it postulates the emergence of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single global currency. That would be a logical consequence of a broad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globalisation</w:t>
      </w:r>
      <w:proofErr w:type="spellEnd"/>
    </w:p>
    <w:p w:rsid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lastRenderedPageBreak/>
        <w:t>trend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, a monetary translation of deepening economic integration. </w:t>
      </w:r>
      <w:proofErr w:type="spellStart"/>
      <w:r>
        <w:rPr>
          <w:rFonts w:ascii="Novarese-Medium" w:hAnsi="Novarese-Medium" w:cs="Novarese-Medium"/>
          <w:sz w:val="20"/>
          <w:szCs w:val="20"/>
        </w:rPr>
        <w:t>The</w:t>
      </w:r>
      <w:proofErr w:type="spellEnd"/>
      <w:r>
        <w:rPr>
          <w:rFonts w:ascii="Novarese-Medium" w:hAnsi="Novarese-Medium" w:cs="Novarese-Medium"/>
          <w:sz w:val="20"/>
          <w:szCs w:val="20"/>
        </w:rPr>
        <w:t xml:space="preserve"> </w:t>
      </w:r>
      <w:proofErr w:type="spellStart"/>
      <w:r>
        <w:rPr>
          <w:rFonts w:ascii="Novarese-Medium" w:hAnsi="Novarese-Medium" w:cs="Novarese-Medium"/>
          <w:sz w:val="20"/>
          <w:szCs w:val="20"/>
        </w:rPr>
        <w:t>example</w:t>
      </w:r>
      <w:proofErr w:type="spellEnd"/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the euro demonstrates – although some observers question how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convincingly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– the feasibility of a single currency in a multinational framework. It is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interesting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to note that another Nobel Prize winner – Robert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Mundell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>, who played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major role in providing the conceptual underpinning for the euro – has more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recently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advocated creating a composite global currency, initially backed by gold.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Thus, from the euro, the dollar and the yen could emerge the geo.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The technology for the global currency is available (although not as widely as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technology for private money) and the task, while challenging, is not excessively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complex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. What would be required is a creation of a single clearing and settlement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system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for geo-denominated transactions. Such a system would be based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on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Real Time Gross Settlements methodology adopted by all the major central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banks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, and would be built on the architecture and experience of the TARGET system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used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by the European Central Bank to settle interbank euro transactions.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The critical success factors for the geo are not technological; they are economic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political. Economically, countries entering a common currency system need to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accept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 common macroeconomic discipline. Politically, there has to be a strong will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to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create a global common currency. The geo will not arise spontaneously from the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interplay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of market forces.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It is probably for that reason that the geo alternative has had a considerably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lower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profile than the private currencies alternative. However, over the next ten to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twenty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years, the question of a global currency is more than likely to return to the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top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of the public policy agenda.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</w:pPr>
      <w:r w:rsidRPr="00E14804"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  <w:t>Market nexus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This alternative builds upon the hypothesis of an ever growing integration of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monetary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systems and financial markets. It postulates strong development and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ever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broader coverage of e-money in the form of digital value contracts (DVCs).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The “digital value” notion refers both to the medium – DVCs will be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softwarebased</w:t>
      </w:r>
      <w:proofErr w:type="spellEnd"/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electronic network-resident – and the substance – they encapsulate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various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types of values that are e-fungible. Combining value and medium of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exchange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, DVCs are not unlike Lewis Carroll’s Cheshire Cat, obeying the disconcerting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rules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of fuzzy logic: they are simultaneously value and representations of value,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unique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and ubiquitous,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standardised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and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customised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>. Although they may be privately</w:t>
      </w:r>
    </w:p>
    <w:p w:rsidR="00E14804" w:rsidRDefault="00E14804" w:rsidP="00E14804">
      <w:pPr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issued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, DVCs are widely tradable on various public and private markets.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This makes them distinct from private currencies. As markets interconnect, DVCs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will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be increasingly fungible with each other. This will enable their greater use as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collateral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and security, and thus enhance their store of value function.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DVCs are used to facilitate exchange of value in a multilateral and uncertain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environment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. They are widely used for risk management, whether on the cautious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(</w:t>
      </w: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protection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) or audacious (speculation) side. The marking trait of DVCs’ evolution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is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their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ever expanding coverage. After having conquered the realms of basic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commodities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and financial instruments, they are being readied for use in energy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management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and environmental protection. Thus, trading of carbon dioxide emissions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permits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is seen as a way of reducing pollution more rapidly and effectively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than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the better-known alternative of the political process and tough regulatory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regimes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. This confidence is based on the successful results of the existing United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States Sulfur Dioxide Allowance Program, which achieved high rates of compliance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with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stringent environmental goals at a low overall cost to the economy. Regulated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sources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have enjoyed maximum flexibility to choose their means of compliance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with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environmental regulations, and government administrators have found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emissions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trading to be politically attractive, efficient, and simple to maintain.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Two other areas where DVCs are likely to play a major role are the B2B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markets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and social protection.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In the B2B domain, DVCs will enable the transition from procurement of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direct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and indirect inputs to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generalised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asset trading. By extending the range of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contracts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and applying financial derivatives techniques, DVCs will enhance the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liquidity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of B2B marketplaces. Already, they are being used to reduce the volatility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markets for such critical components as DRAM memories, and to better manage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network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capacity through bandwidth trading. A new category of DVCs is likely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to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be developed to allow greater tradability of such intangible assets as intellectual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property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or customer databases.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Social protection use of DVCs is still at the concept stage. One can argue that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lastRenderedPageBreak/>
        <w:t>company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stock options, widely used in technology companies, could be construed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 form of DVC. However, as shown during the severe market correction, stock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options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offer less-than-perfect downsize protection.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A more ambitious project to use DVCs for protection against long-term economic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social hazards such as unemployment or substantial drops in income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has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been formulated by Robert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Shiller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>, who proposed setting a new market category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for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these hazards. Designed to manage society’s largest economic risks,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“</w:t>
      </w:r>
      <w:proofErr w:type="spellStart"/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macromarkets</w:t>
      </w:r>
      <w:proofErr w:type="spellEnd"/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” (as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Shiller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called them) could be used for instance to mitigate the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transition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from pay-as-you-go to funded pension schemes, and to make these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transferable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. In the future, the use of DVCs as a tool for solving public policy</w:t>
      </w:r>
    </w:p>
    <w:p w:rsidR="00E14804" w:rsidRDefault="00E14804" w:rsidP="00E14804">
      <w:pPr>
        <w:rPr>
          <w:rFonts w:ascii="Novarese-Medium" w:hAnsi="Novarese-Medium" w:cs="Novarese-Medium"/>
          <w:sz w:val="20"/>
          <w:szCs w:val="20"/>
          <w:lang w:val="en-US"/>
        </w:rPr>
      </w:pPr>
      <w:proofErr w:type="spellStart"/>
      <w:r>
        <w:rPr>
          <w:rFonts w:ascii="Novarese-Medium" w:hAnsi="Novarese-Medium" w:cs="Novarese-Medium"/>
          <w:sz w:val="20"/>
          <w:szCs w:val="20"/>
        </w:rPr>
        <w:t>problems</w:t>
      </w:r>
      <w:proofErr w:type="spellEnd"/>
      <w:r>
        <w:rPr>
          <w:rFonts w:ascii="Novarese-Medium" w:hAnsi="Novarese-Medium" w:cs="Novarese-Medium"/>
          <w:sz w:val="20"/>
          <w:szCs w:val="20"/>
        </w:rPr>
        <w:t xml:space="preserve"> </w:t>
      </w:r>
      <w:proofErr w:type="spellStart"/>
      <w:r>
        <w:rPr>
          <w:rFonts w:ascii="Novarese-Medium" w:hAnsi="Novarese-Medium" w:cs="Novarese-Medium"/>
          <w:sz w:val="20"/>
          <w:szCs w:val="20"/>
        </w:rPr>
        <w:t>will</w:t>
      </w:r>
      <w:proofErr w:type="spellEnd"/>
      <w:r>
        <w:rPr>
          <w:rFonts w:ascii="Novarese-Medium" w:hAnsi="Novarese-Medium" w:cs="Novarese-Medium"/>
          <w:sz w:val="20"/>
          <w:szCs w:val="20"/>
        </w:rPr>
        <w:t xml:space="preserve"> </w:t>
      </w:r>
      <w:proofErr w:type="spellStart"/>
      <w:r>
        <w:rPr>
          <w:rFonts w:ascii="Novarese-Medium" w:hAnsi="Novarese-Medium" w:cs="Novarese-Medium"/>
          <w:sz w:val="20"/>
          <w:szCs w:val="20"/>
        </w:rPr>
        <w:t>become</w:t>
      </w:r>
      <w:proofErr w:type="spellEnd"/>
      <w:r>
        <w:rPr>
          <w:rFonts w:ascii="Novarese-Medium" w:hAnsi="Novarese-Medium" w:cs="Novarese-Medium"/>
          <w:sz w:val="20"/>
          <w:szCs w:val="20"/>
        </w:rPr>
        <w:t xml:space="preserve"> </w:t>
      </w:r>
      <w:proofErr w:type="spellStart"/>
      <w:r>
        <w:rPr>
          <w:rFonts w:ascii="Novarese-Medium" w:hAnsi="Novarese-Medium" w:cs="Novarese-Medium"/>
          <w:sz w:val="20"/>
          <w:szCs w:val="20"/>
        </w:rPr>
        <w:t>commonplace</w:t>
      </w:r>
      <w:proofErr w:type="spellEnd"/>
      <w:r>
        <w:rPr>
          <w:rFonts w:ascii="Novarese-Medium" w:hAnsi="Novarese-Medium" w:cs="Novarese-Medium"/>
          <w:sz w:val="20"/>
          <w:szCs w:val="20"/>
        </w:rPr>
        <w:t>.</w:t>
      </w:r>
    </w:p>
    <w:p w:rsid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0"/>
          <w:szCs w:val="20"/>
        </w:rPr>
      </w:pPr>
      <w:proofErr w:type="spellStart"/>
      <w:r>
        <w:rPr>
          <w:rFonts w:ascii="Novarese-BoldItalic" w:hAnsi="Novarese-BoldItalic" w:cs="Novarese-BoldItalic"/>
          <w:b/>
          <w:bCs/>
          <w:i/>
          <w:iCs/>
          <w:sz w:val="20"/>
          <w:szCs w:val="20"/>
        </w:rPr>
        <w:t>Key</w:t>
      </w:r>
      <w:proofErr w:type="spellEnd"/>
      <w:r>
        <w:rPr>
          <w:rFonts w:ascii="Novarese-BoldItalic" w:hAnsi="Novarese-BoldItalic" w:cs="Novarese-BoldItalic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Novarese-BoldItalic" w:hAnsi="Novarese-BoldItalic" w:cs="Novarese-BoldItalic"/>
          <w:b/>
          <w:bCs/>
          <w:i/>
          <w:iCs/>
          <w:sz w:val="20"/>
          <w:szCs w:val="20"/>
        </w:rPr>
        <w:t>questions</w:t>
      </w:r>
      <w:proofErr w:type="spellEnd"/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</w:pPr>
      <w:proofErr w:type="gramStart"/>
      <w:r w:rsidRPr="00E14804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Displacement or coexistence?</w:t>
      </w:r>
      <w:proofErr w:type="gramEnd"/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Relationships between the three alternatives are ambiguous and highly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context-dependent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. Under certain conditions they are conflicting, even mutually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exclusive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. Hayek’s vision of “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denationalised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>” money clearly runs against the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concept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of a single global currency. Private currencies and DVCs are possible substitutes.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Large corporate entities may prefer to issue DVCs rather than corporate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currencies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for the same reasons that they prefer negotiable instruments to bank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loans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In other circumstances, core alternatives are compatible and could actually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be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complementary. The geo can very well coexist with corporate currencies and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with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DVCs. Some observers argued that the euro introduction should have been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used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as an opportunity to promote new forms of money, which could have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reduced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the demand for cash currency. Even if this opportunity has not been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taken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, introduction of the geo would entail major changes in the handling of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traditional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fiduciary and scriptural money and thus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favour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financial innovation.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</w:pPr>
      <w:r w:rsidRPr="00E14804">
        <w:rPr>
          <w:rFonts w:ascii="Novarese-MediumItalic" w:hAnsi="Novarese-MediumItalic" w:cs="Novarese-MediumItalic"/>
          <w:i/>
          <w:iCs/>
          <w:sz w:val="20"/>
          <w:szCs w:val="20"/>
          <w:lang w:val="en-US"/>
        </w:rPr>
        <w:t>How quickly and strongly will the new alternatives emerge?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At present, DVCs have the strongest growth momentum and potential. Private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currencies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, despite considerable media coverage, remain a largely marginal phenomenon.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They experience difficulties to scale, to expand beyond particular local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circumstances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. The geo is far from the top of public policy makers’ agendas. It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should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not be assumed, however, that over next twenty years the relative position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the three alternatives will remain unchanged. Private currencies may enter an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explosive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growth trajectory under the impact of new aggregation and peer-to-peer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technologies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. The geo could be catapulted to the forefront in the aftermath of a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major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global crisis.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The range of futures of money is quite broad. Nevertheless, one thing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appears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certain. Electronic money will continue to emerge, rendering the overall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money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landscape more intricate and multifarious.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Bold" w:hAnsi="Novarese-Bold" w:cs="Novarese-Bold"/>
          <w:b/>
          <w:bCs/>
          <w:sz w:val="20"/>
          <w:szCs w:val="20"/>
          <w:lang w:val="en-US"/>
        </w:rPr>
      </w:pPr>
      <w:r w:rsidRPr="00E14804">
        <w:rPr>
          <w:rFonts w:ascii="Novarese-Bold" w:hAnsi="Novarese-Bold" w:cs="Novarese-Bold"/>
          <w:b/>
          <w:bCs/>
          <w:sz w:val="20"/>
          <w:szCs w:val="20"/>
          <w:lang w:val="en-US"/>
        </w:rPr>
        <w:t>5. Opportunities and risks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The emergence of electronic money will create a wide range of benefits: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• It will align the monetary system more closely with the overall dynamics of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intangible economy, thus making resource and asset allocation more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efficient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• It will facilitate the development of new products and services, not only in</w:t>
      </w:r>
    </w:p>
    <w:p w:rsidR="00E14804" w:rsidRDefault="00E14804" w:rsidP="00E14804">
      <w:pPr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financial sector but also in various forms of electronic commerce. Many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these products and services will be highly innovative and offer high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growth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potential.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• It will sustain the design and deployment of new business models such as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multitier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third party payments and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multistream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revenues generation, which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allow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easier capture of value of intangible artifacts and assets such as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content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and knowledge.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• It will offer speed, global reach and granularity, which facilitate the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customisation</w:t>
      </w:r>
      <w:proofErr w:type="spellEnd"/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payment solution to particular customers and situations.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Yet, the progress of electronic money also creates risks.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</w:pPr>
      <w:r w:rsidRPr="00E14804"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  <w:t>Conceptual confusion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The first is one of conceptual confusion about electronic money and its implications.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We have seen above the difficulties of defining electronic money and the</w:t>
      </w:r>
    </w:p>
    <w:p w:rsid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more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general problems of apprehending traditional money. </w:t>
      </w:r>
      <w:proofErr w:type="spellStart"/>
      <w:r>
        <w:rPr>
          <w:rFonts w:ascii="Novarese-Medium" w:hAnsi="Novarese-Medium" w:cs="Novarese-Medium"/>
          <w:sz w:val="20"/>
          <w:szCs w:val="20"/>
        </w:rPr>
        <w:t>The</w:t>
      </w:r>
      <w:proofErr w:type="spellEnd"/>
      <w:r>
        <w:rPr>
          <w:rFonts w:ascii="Novarese-Medium" w:hAnsi="Novarese-Medium" w:cs="Novarese-Medium"/>
          <w:sz w:val="20"/>
          <w:szCs w:val="20"/>
        </w:rPr>
        <w:t xml:space="preserve"> </w:t>
      </w:r>
      <w:proofErr w:type="spellStart"/>
      <w:r>
        <w:rPr>
          <w:rFonts w:ascii="Novarese-Medium" w:hAnsi="Novarese-Medium" w:cs="Novarese-Medium"/>
          <w:sz w:val="20"/>
          <w:szCs w:val="20"/>
        </w:rPr>
        <w:t>monetary</w:t>
      </w:r>
      <w:proofErr w:type="spellEnd"/>
      <w:r>
        <w:rPr>
          <w:rFonts w:ascii="Novarese-Medium" w:hAnsi="Novarese-Medium" w:cs="Novarese-Medium"/>
          <w:sz w:val="20"/>
          <w:szCs w:val="20"/>
        </w:rPr>
        <w:t xml:space="preserve"> </w:t>
      </w:r>
      <w:proofErr w:type="spellStart"/>
      <w:r>
        <w:rPr>
          <w:rFonts w:ascii="Novarese-Medium" w:hAnsi="Novarese-Medium" w:cs="Novarese-Medium"/>
          <w:sz w:val="20"/>
          <w:szCs w:val="20"/>
        </w:rPr>
        <w:t>system</w:t>
      </w:r>
      <w:proofErr w:type="spellEnd"/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is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increasingly complex. It never was really stable, but the pace and the scope of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lastRenderedPageBreak/>
        <w:t>change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are now greater than ever. Historical precedents are only of limited relevance.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Money practitioners, analysts and regulators all grope for conceptual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tools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that would make those changes more intelligible and provide actionable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guidelines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. But their quest is far from over.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</w:pPr>
      <w:r w:rsidRPr="00E14804"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  <w:t>Unstable institutional framework and governance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One of the major symptoms of confusion is the concern about disintermediation.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That term has several meanings. Traditionally, it means the decreasing role of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banks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in financial activities such as lending. In the new economy context, it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describes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the sweeping elimination of all intermediaries and the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generalisation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of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peer-to-peer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relations. This type of disintermediation is unlikely. However, the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changing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role of banks in the economy is unquestionable. So far, while banks have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been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losing share in many of their traditional strongholds, they have maintained a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dominant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role in the management of monetary systems, particularly the clearing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settlement function. This was not only due to their market prowess but also to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firm stance taken by regulatory authorities, notably central banks. Nevertheless,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political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pressures to open the existing monetary management and clearing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system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to greater competition are growing. Neither private currency nor DVC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approaches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place banks at the heart of their governance. In the electronic money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context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, the very notion of financial institutions becomes more ambiguous and difficult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to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define. The existing institutional framework is thus under pressure to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evolve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, but there is no well-defined and agreed blueprint for an alternative framework.</w:t>
      </w:r>
    </w:p>
    <w:p w:rsid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It is not even sure that a single framework will emerge. </w:t>
      </w:r>
      <w:proofErr w:type="spellStart"/>
      <w:r>
        <w:rPr>
          <w:rFonts w:ascii="Novarese-Medium" w:hAnsi="Novarese-Medium" w:cs="Novarese-Medium"/>
          <w:sz w:val="20"/>
          <w:szCs w:val="20"/>
        </w:rPr>
        <w:t>After</w:t>
      </w:r>
      <w:proofErr w:type="spellEnd"/>
      <w:r>
        <w:rPr>
          <w:rFonts w:ascii="Novarese-Medium" w:hAnsi="Novarese-Medium" w:cs="Novarese-Medium"/>
          <w:sz w:val="20"/>
          <w:szCs w:val="20"/>
        </w:rPr>
        <w:t xml:space="preserve"> </w:t>
      </w:r>
      <w:proofErr w:type="spellStart"/>
      <w:r>
        <w:rPr>
          <w:rFonts w:ascii="Novarese-Medium" w:hAnsi="Novarese-Medium" w:cs="Novarese-Medium"/>
          <w:sz w:val="20"/>
          <w:szCs w:val="20"/>
        </w:rPr>
        <w:t>all</w:t>
      </w:r>
      <w:proofErr w:type="spellEnd"/>
      <w:r>
        <w:rPr>
          <w:rFonts w:ascii="Novarese-Medium" w:hAnsi="Novarese-Medium" w:cs="Novarese-Medium"/>
          <w:sz w:val="20"/>
          <w:szCs w:val="20"/>
        </w:rPr>
        <w:t xml:space="preserve">, </w:t>
      </w:r>
      <w:proofErr w:type="spellStart"/>
      <w:r>
        <w:rPr>
          <w:rFonts w:ascii="Novarese-Medium" w:hAnsi="Novarese-Medium" w:cs="Novarese-Medium"/>
          <w:sz w:val="20"/>
          <w:szCs w:val="20"/>
        </w:rPr>
        <w:t>financial</w:t>
      </w:r>
      <w:proofErr w:type="spellEnd"/>
    </w:p>
    <w:p w:rsidR="00E14804" w:rsidRDefault="00E14804" w:rsidP="00E14804">
      <w:pPr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markets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and financial services often operate within different frameworks and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distinct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regulatory regimes. In any case, the governance, operational management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regulatory oversight are and most likely will remain in a state of flux.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</w:pPr>
      <w:r w:rsidRPr="00E14804"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  <w:t>Loss of control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The upshot of conceptual confusion and institutional instability is a widespread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sense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of the loss of control. This goes beyond the difficulties of conducting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monetary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policy and supervising financial institutions that are active across all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continents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and offer a huge range of services. Many observers, some of whom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have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extensive inside knowledge, believe that the evolution of monetary systems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is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undermining the traditional political structure of nation states. Walter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Wriston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>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ex-CEO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of Citicorp, called this the “twilight of sovereignty” (1992). Financial markets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have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taken away the economic policy making power of governments. This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power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has not so much been transferred as diffused across a wide range of actors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with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often conflicting interests.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</w:pPr>
      <w:r w:rsidRPr="00E14804"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  <w:t>Extreme volatility and increased fragility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As a result, financial markets are unstable. The volatility of financial prices is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widespread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, persistent and contagious: foreign exchange markets have been volatile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since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1973, interest rates since 1979 in the United States and the mid-1980s in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Europe; equities became more volatile during the 1990s. Volatility results not only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in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wide swings of value but also in large gaps between financial and economic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value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. In turn, those gaps lead to financial “bubbles”. As bubbles cannot inflate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indefinitely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they burst periodically, often brutally: hence the increasing frequency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financial crashes. Global equity markets crashed in 1987, in 1989 and again in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1998 and 2000; bond markets collapsed in 1987, 1994 and 1998, every time wiping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away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hundreds of billions of dollars of market value. So far, despite those crashes,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global economy continues not just to function but to grow and prosper. Nevertheless,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sense of fragility is exacerbated. National and international regulatory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authorities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live in a mode of permanent crisis management.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</w:pPr>
      <w:r w:rsidRPr="00E14804"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  <w:t>Social backlash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To the extent that the ascendance of global electronic markets is seen as a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dictatorship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of blind economic forces, it can and does generate social backlash.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Electronic money is widely seen as one of the most pernicious aspects of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globalisation</w:t>
      </w:r>
      <w:proofErr w:type="spellEnd"/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– </w:t>
      </w: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hence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, the continuing interest in the Tobin tax proposal. An international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association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to support this proposal, ATTAC, became one of the most active and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visible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promoters of the anti-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globalisation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movement, which vehemently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criticises</w:t>
      </w:r>
      <w:proofErr w:type="spellEnd"/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World Bank, IMF and WTO.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The development of the intangible economy is likely to further exacerbate</w:t>
      </w:r>
    </w:p>
    <w:p w:rsidR="00E14804" w:rsidRDefault="00E14804" w:rsidP="00E14804">
      <w:pPr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backlash, as it entails a continuing extension of the scope of intangible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markets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and DVCs. For many people, feelings and ideas should not be subject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lastRenderedPageBreak/>
        <w:t>either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to the economic calculus or to market vagaries.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</w:pPr>
      <w:r w:rsidRPr="00E14804">
        <w:rPr>
          <w:rFonts w:ascii="Novarese-BoldItalic" w:hAnsi="Novarese-BoldItalic" w:cs="Novarese-BoldItalic"/>
          <w:b/>
          <w:bCs/>
          <w:i/>
          <w:iCs/>
          <w:sz w:val="20"/>
          <w:szCs w:val="20"/>
          <w:lang w:val="en-US"/>
        </w:rPr>
        <w:t>Growing dependency on technology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Electronic money, in its different forms, becomes practically impossible to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dissociate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from its technology, which is not only its support but also its substance.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This creates a strong dependency on technology and its evolution, and that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dependency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in turn triggers risks. Some of these are well-known – system breakdown,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security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breach – and are being treated with a high degree of priority.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Such treatment requires an extensive use of technology, thus aggravating the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dependency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The evolution of technology is likely to set off qualitatively new types of risks.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Its major thrust will be to endow systems and its components with increased intelligence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ability to learn. Both markets and money will become intelligent.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Transactions will be automated, carried through machine-to-machine, agent-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toagent</w:t>
      </w:r>
      <w:proofErr w:type="spellEnd"/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dialogues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and transactions. This entails a decreasing involvement of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humans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. It is even possible to envision situations of conflict between intelligent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systems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and their human operators. Some future watchers go even further. Thus,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Bill Joy, chief scientist of Sun, conjectures a future that “does not need us” (2000).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Bold" w:hAnsi="Novarese-Bold" w:cs="Novarese-Bold"/>
          <w:b/>
          <w:bCs/>
          <w:sz w:val="20"/>
          <w:szCs w:val="20"/>
          <w:lang w:val="en-US"/>
        </w:rPr>
      </w:pPr>
      <w:r w:rsidRPr="00E14804">
        <w:rPr>
          <w:rFonts w:ascii="Novarese-Bold" w:hAnsi="Novarese-Bold" w:cs="Novarese-Bold"/>
          <w:b/>
          <w:bCs/>
          <w:sz w:val="20"/>
          <w:szCs w:val="20"/>
          <w:lang w:val="en-US"/>
        </w:rPr>
        <w:t>6. Conclusion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A new category of money is emerging: electronic money. Underpinned by the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broad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shift to the intangible economy, it is likely to become not only commonly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used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but a dominant system for determining and exchanging economic value. Its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trajectory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is clearly ascending. Yet, it is not linear or two-dimensional. There is no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“</w:t>
      </w: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one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best way”: the range of its possible evolution is very wide. More importantly,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both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economic agents and public policy makers have latitude to act and to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influence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both the process and the outcome of electronic money’s gestation.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The configuration of electronic money will be the result of interactions among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economic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agents, public policy makers and structural trends of the intangible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economy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. This configuration may be stable but will not be fixed: the ability to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adapt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will be its built-in feature.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To facilitate the emergence of electronic money, it is important to be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openminded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>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to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accept innovative visions of money and monetary transactions. At the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same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time, it is essential to </w:t>
      </w:r>
      <w:proofErr w:type="spellStart"/>
      <w:r w:rsidRPr="00E14804">
        <w:rPr>
          <w:rFonts w:ascii="Novarese-Medium" w:hAnsi="Novarese-Medium" w:cs="Novarese-Medium"/>
          <w:sz w:val="20"/>
          <w:szCs w:val="20"/>
          <w:lang w:val="en-US"/>
        </w:rPr>
        <w:t>recognise</w:t>
      </w:r>
      <w:proofErr w:type="spell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that many of these visions will either never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be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implemented or fail the critical test of customer acceptance.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For policy makers, the critical challenge is that of new forms of governance. In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the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new landscape, the roles of financial and non-financial institutions as well as</w:t>
      </w:r>
    </w:p>
    <w:p w:rsidR="00E14804" w:rsidRDefault="00E14804" w:rsidP="00E14804">
      <w:pPr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those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of the enabling technology providers and regulatory authorities need to be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redefined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. Does the combination of business and technological trends imply </w:t>
      </w: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that</w:t>
      </w:r>
      <w:proofErr w:type="gramEnd"/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finance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is being rendered commonplace? Does it reduce barriers to entry to a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point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where any network can become a market, any computer can become a clearing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system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and anybody can issue electronic money? In the new environment,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what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is the meaning of financial transaction, financial intermediary and money?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The openness of electronic money means that governance structures and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conduct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will need to be more open than they are at present. They are more likely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to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be structured as a network than as a hierarchy, interconnected rather than centralised.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They may even include elements of competition and negotiation among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various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structures.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More importantly, they will need to integrate the technological dimension.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Lawrence Lessig (1999) considers that information technology and computer code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have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regulatory power. In other words, computer code can be used to define and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control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the rules and behaviour of a given system and its components, not only in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cyberspace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but also in the physical world. For instance, privacy and decency rules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built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into the system architecture constitute an efficient alternative to legislation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and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administrative laws and decrees. Financial systems already include codebased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rules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, which govern access and risk management in real time. Interbank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clearing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systems, for instance, verify funds availability in real time and automatically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limit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the credit exposure of system participants. Such automated rules were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introduced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because usual rules and control mechanisms were simply impracticable.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This approach may be extended and raised to a higher level of governance.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r w:rsidRPr="00E14804">
        <w:rPr>
          <w:rFonts w:ascii="Novarese-Medium" w:hAnsi="Novarese-Medium" w:cs="Novarese-Medium"/>
          <w:sz w:val="20"/>
          <w:szCs w:val="20"/>
          <w:lang w:val="en-US"/>
        </w:rPr>
        <w:t>The International Financial Architecture has been extensively if rather inconclusively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debated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at the most senior levels of international co-operation with the aim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improving the stability and the security of the global economy. This discussion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acknowledged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the risk of technology but has not considered its potential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lastRenderedPageBreak/>
        <w:t>advantages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>, in particular its integration into the regulatory framework. Is it</w:t>
      </w:r>
    </w:p>
    <w:p w:rsidR="00E14804" w:rsidRPr="00E14804" w:rsidRDefault="00E14804" w:rsidP="00E14804">
      <w:pPr>
        <w:autoSpaceDE w:val="0"/>
        <w:autoSpaceDN w:val="0"/>
        <w:adjustRightInd w:val="0"/>
        <w:spacing w:after="0" w:line="240" w:lineRule="auto"/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naive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to believe that one way to advance this debate is to introduce the concept</w:t>
      </w:r>
    </w:p>
    <w:p w:rsidR="00E14804" w:rsidRPr="00E14804" w:rsidRDefault="00E14804" w:rsidP="00E14804">
      <w:pPr>
        <w:rPr>
          <w:rFonts w:ascii="Novarese-Medium" w:hAnsi="Novarese-Medium" w:cs="Novarese-Medium"/>
          <w:sz w:val="20"/>
          <w:szCs w:val="20"/>
          <w:lang w:val="en-US"/>
        </w:rPr>
      </w:pPr>
      <w:proofErr w:type="gramStart"/>
      <w:r w:rsidRPr="00E14804">
        <w:rPr>
          <w:rFonts w:ascii="Novarese-Medium" w:hAnsi="Novarese-Medium" w:cs="Novarese-Medium"/>
          <w:sz w:val="20"/>
          <w:szCs w:val="20"/>
          <w:lang w:val="en-US"/>
        </w:rPr>
        <w:t>of</w:t>
      </w:r>
      <w:proofErr w:type="gramEnd"/>
      <w:r w:rsidRPr="00E14804">
        <w:rPr>
          <w:rFonts w:ascii="Novarese-Medium" w:hAnsi="Novarese-Medium" w:cs="Novarese-Medium"/>
          <w:sz w:val="20"/>
          <w:szCs w:val="20"/>
          <w:lang w:val="en-US"/>
        </w:rPr>
        <w:t xml:space="preserve"> International Financial Technology Infrastructure?</w:t>
      </w:r>
      <w:bookmarkStart w:id="0" w:name="_GoBack"/>
      <w:bookmarkEnd w:id="0"/>
    </w:p>
    <w:p w:rsidR="00E14804" w:rsidRPr="00E14804" w:rsidRDefault="00E14804" w:rsidP="00E14804">
      <w:pPr>
        <w:rPr>
          <w:rFonts w:cs="Novarese-Medium"/>
          <w:sz w:val="20"/>
          <w:szCs w:val="20"/>
          <w:lang w:val="en-US"/>
        </w:rPr>
      </w:pPr>
    </w:p>
    <w:p w:rsidR="00E14804" w:rsidRPr="00E14804" w:rsidRDefault="00E14804" w:rsidP="00E14804">
      <w:pPr>
        <w:rPr>
          <w:rFonts w:cs="Novarese-Medium"/>
          <w:color w:val="000000"/>
          <w:sz w:val="18"/>
          <w:szCs w:val="18"/>
          <w:lang w:val="en-US"/>
        </w:rPr>
      </w:pPr>
    </w:p>
    <w:p w:rsidR="00E14804" w:rsidRPr="00517CE1" w:rsidRDefault="00E14804" w:rsidP="00E14804">
      <w:pPr>
        <w:rPr>
          <w:lang w:val="en-US"/>
        </w:rPr>
      </w:pPr>
    </w:p>
    <w:p w:rsidR="00782D1B" w:rsidRPr="00E14804" w:rsidRDefault="00782D1B">
      <w:pPr>
        <w:rPr>
          <w:lang w:val="en-US"/>
        </w:rPr>
      </w:pPr>
    </w:p>
    <w:sectPr w:rsidR="00782D1B" w:rsidRPr="00E1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varese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varese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varese-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varese-Medium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BA"/>
    <w:rsid w:val="007421BA"/>
    <w:rsid w:val="00782D1B"/>
    <w:rsid w:val="00E1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6638</Words>
  <Characters>37838</Characters>
  <Application>Microsoft Office Word</Application>
  <DocSecurity>0</DocSecurity>
  <Lines>315</Lines>
  <Paragraphs>88</Paragraphs>
  <ScaleCrop>false</ScaleCrop>
  <Company/>
  <LinksUpToDate>false</LinksUpToDate>
  <CharactersWithSpaces>44388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Raigul</dc:creator>
  <cp:keywords/>
  <dc:description/>
  <cp:lastModifiedBy>Raigul</cp:lastModifiedBy>
  <cp:revision>2</cp:revision>
  <dcterms:created xsi:type="dcterms:W3CDTF">2022-10-09T19:12:00Z</dcterms:created>
  <dcterms:modified xsi:type="dcterms:W3CDTF">2022-10-09T19:15:00Z</dcterms:modified>
</cp:coreProperties>
</file>